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text" w:horzAnchor="margin" w:tblpY="63"/>
        <w:tblW w:w="973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33"/>
      </w:tblGrid>
      <w:tr w:rsidR="003E3231" w:rsidRPr="003E3231" w:rsidTr="003E3231">
        <w:trPr>
          <w:trHeight w:val="14733"/>
        </w:trPr>
        <w:tc>
          <w:tcPr>
            <w:tcW w:w="9733" w:type="dxa"/>
            <w:shd w:val="clear" w:color="auto" w:fill="D9D9D9" w:themeFill="background1" w:themeFillShade="D9"/>
          </w:tcPr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P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72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3E3231">
              <w:rPr>
                <w:rFonts w:ascii="Times New Roman" w:hAnsi="Times New Roman" w:cs="Times New Roman"/>
                <w:b/>
                <w:sz w:val="72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ООО «ЛТВ»</w:t>
            </w:r>
          </w:p>
          <w:p w:rsidR="003E3231" w:rsidRP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72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3E3231" w:rsidRP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3E3231">
              <w:rPr>
                <w:rFonts w:ascii="Times New Roman" w:hAnsi="Times New Roman" w:cs="Times New Roman"/>
                <w:b/>
                <w:sz w:val="56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Политика в отношении обработки</w:t>
            </w:r>
          </w:p>
          <w:p w:rsidR="003E3231" w:rsidRP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3E3231">
              <w:rPr>
                <w:rFonts w:ascii="Times New Roman" w:hAnsi="Times New Roman" w:cs="Times New Roman"/>
                <w:b/>
                <w:sz w:val="56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персональных данных</w:t>
            </w: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31" w:rsidRDefault="003E3231" w:rsidP="003E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E41">
              <w:rPr>
                <w:rFonts w:ascii="Times New Roman" w:hAnsi="Times New Roman" w:cs="Times New Roman"/>
                <w:sz w:val="28"/>
                <w:szCs w:val="28"/>
              </w:rPr>
              <w:t>Лучегорск</w:t>
            </w:r>
          </w:p>
          <w:p w:rsidR="003E3231" w:rsidRPr="003E3231" w:rsidRDefault="003E3231" w:rsidP="003E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E4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г.</w:t>
            </w:r>
          </w:p>
        </w:tc>
      </w:tr>
    </w:tbl>
    <w:p w:rsidR="00993DF6" w:rsidRPr="00D21F50" w:rsidRDefault="00993DF6" w:rsidP="002C7511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D21F50">
        <w:rPr>
          <w:rFonts w:ascii="Times New Roman" w:hAnsi="Times New Roman" w:cs="Times New Roman"/>
          <w:b/>
          <w:sz w:val="36"/>
          <w:szCs w:val="28"/>
        </w:rPr>
        <w:lastRenderedPageBreak/>
        <w:t>Содерж</w:t>
      </w:r>
      <w:r w:rsidR="00ED38BF" w:rsidRPr="00D21F50">
        <w:rPr>
          <w:rFonts w:ascii="Times New Roman" w:hAnsi="Times New Roman" w:cs="Times New Roman"/>
          <w:b/>
          <w:sz w:val="36"/>
          <w:szCs w:val="28"/>
        </w:rPr>
        <w:t>а</w:t>
      </w:r>
      <w:r w:rsidRPr="00D21F50">
        <w:rPr>
          <w:rFonts w:ascii="Times New Roman" w:hAnsi="Times New Roman" w:cs="Times New Roman"/>
          <w:b/>
          <w:sz w:val="36"/>
          <w:szCs w:val="28"/>
        </w:rPr>
        <w:t>ние</w:t>
      </w:r>
    </w:p>
    <w:p w:rsidR="00993DF6" w:rsidRDefault="00993DF6" w:rsidP="001E15CA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Назначение ......................................................................................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... </w:t>
      </w:r>
      <w:r w:rsidR="00E93998">
        <w:rPr>
          <w:rFonts w:ascii="Times New Roman" w:hAnsi="Times New Roman" w:cs="Times New Roman"/>
          <w:sz w:val="28"/>
          <w:szCs w:val="28"/>
        </w:rPr>
        <w:t>4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Общие положения ...................................................................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.................... </w:t>
      </w:r>
      <w:r w:rsidR="00E93998">
        <w:rPr>
          <w:rFonts w:ascii="Times New Roman" w:hAnsi="Times New Roman" w:cs="Times New Roman"/>
          <w:sz w:val="28"/>
          <w:szCs w:val="28"/>
        </w:rPr>
        <w:t>5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Принципы обработки ПДн .............................</w:t>
      </w:r>
      <w:r>
        <w:rPr>
          <w:rFonts w:ascii="Times New Roman" w:hAnsi="Times New Roman" w:cs="Times New Roman"/>
          <w:sz w:val="28"/>
          <w:szCs w:val="28"/>
        </w:rPr>
        <w:t>...............</w:t>
      </w:r>
      <w:r w:rsidRPr="00400E41">
        <w:rPr>
          <w:rFonts w:ascii="Times New Roman" w:hAnsi="Times New Roman" w:cs="Times New Roman"/>
          <w:sz w:val="28"/>
          <w:szCs w:val="28"/>
        </w:rPr>
        <w:t>................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.... </w:t>
      </w:r>
      <w:r w:rsidR="00E93998">
        <w:rPr>
          <w:rFonts w:ascii="Times New Roman" w:hAnsi="Times New Roman" w:cs="Times New Roman"/>
          <w:sz w:val="28"/>
          <w:szCs w:val="28"/>
        </w:rPr>
        <w:t>6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Условия обработки персональных данных 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400E41">
        <w:rPr>
          <w:rFonts w:ascii="Times New Roman" w:hAnsi="Times New Roman" w:cs="Times New Roman"/>
          <w:sz w:val="28"/>
          <w:szCs w:val="28"/>
        </w:rPr>
        <w:t>..................................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..........</w:t>
      </w:r>
      <w:r w:rsidR="005D4C47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... </w:t>
      </w:r>
      <w:r w:rsidR="00E93998">
        <w:rPr>
          <w:rFonts w:ascii="Times New Roman" w:hAnsi="Times New Roman" w:cs="Times New Roman"/>
          <w:sz w:val="28"/>
          <w:szCs w:val="28"/>
        </w:rPr>
        <w:t>7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Права субъекта персональных данных .............................................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3998">
        <w:rPr>
          <w:rFonts w:ascii="Times New Roman" w:hAnsi="Times New Roman" w:cs="Times New Roman"/>
          <w:sz w:val="28"/>
          <w:szCs w:val="28"/>
        </w:rPr>
        <w:t>...........10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Обязанности Компании ...................................................................</w:t>
      </w:r>
      <w:r w:rsidR="00ED38BF">
        <w:rPr>
          <w:rFonts w:ascii="Times New Roman" w:hAnsi="Times New Roman" w:cs="Times New Roman"/>
          <w:sz w:val="28"/>
          <w:szCs w:val="28"/>
        </w:rPr>
        <w:t>.....</w:t>
      </w:r>
      <w:r w:rsidRPr="00400E41">
        <w:rPr>
          <w:rFonts w:ascii="Times New Roman" w:hAnsi="Times New Roman" w:cs="Times New Roman"/>
          <w:sz w:val="28"/>
          <w:szCs w:val="28"/>
        </w:rPr>
        <w:t>...........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400E41">
        <w:rPr>
          <w:rFonts w:ascii="Times New Roman" w:hAnsi="Times New Roman" w:cs="Times New Roman"/>
          <w:sz w:val="28"/>
          <w:szCs w:val="28"/>
        </w:rPr>
        <w:t xml:space="preserve"> 1</w:t>
      </w:r>
      <w:r w:rsidR="00E93998">
        <w:rPr>
          <w:rFonts w:ascii="Times New Roman" w:hAnsi="Times New Roman" w:cs="Times New Roman"/>
          <w:sz w:val="28"/>
          <w:szCs w:val="28"/>
        </w:rPr>
        <w:t>2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Меры по обеспечению безопасности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DF6" w:rsidRDefault="00993DF6" w:rsidP="001E15CA">
      <w:pPr>
        <w:spacing w:after="0" w:line="48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при их обработке ...........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</w:t>
      </w:r>
      <w:r w:rsidRPr="00400E41">
        <w:rPr>
          <w:rFonts w:ascii="Times New Roman" w:hAnsi="Times New Roman" w:cs="Times New Roman"/>
          <w:sz w:val="28"/>
          <w:szCs w:val="28"/>
        </w:rPr>
        <w:t>.</w:t>
      </w:r>
      <w:r w:rsidR="001E15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400E41">
        <w:rPr>
          <w:rFonts w:ascii="Times New Roman" w:hAnsi="Times New Roman" w:cs="Times New Roman"/>
          <w:sz w:val="28"/>
          <w:szCs w:val="28"/>
        </w:rPr>
        <w:t>.... 1</w:t>
      </w:r>
      <w:r w:rsidR="0052517B">
        <w:rPr>
          <w:rFonts w:ascii="Times New Roman" w:hAnsi="Times New Roman" w:cs="Times New Roman"/>
          <w:sz w:val="28"/>
          <w:szCs w:val="28"/>
        </w:rPr>
        <w:t>4</w:t>
      </w:r>
    </w:p>
    <w:p w:rsidR="00737A1A" w:rsidRDefault="00737A1A" w:rsidP="00737A1A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Изменение политики……………………………………………………</w:t>
      </w:r>
      <w:r w:rsidR="00F85CF3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5251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...15</w:t>
      </w: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1F50" w:rsidRPr="00D21F50" w:rsidRDefault="00D21F50" w:rsidP="00D21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D21F50">
        <w:rPr>
          <w:rFonts w:ascii="Times New Roman" w:hAnsi="Times New Roman" w:cs="Times New Roman"/>
          <w:b/>
          <w:bCs/>
          <w:sz w:val="36"/>
          <w:szCs w:val="28"/>
        </w:rPr>
        <w:lastRenderedPageBreak/>
        <w:t>Контроль версий документа</w:t>
      </w:r>
    </w:p>
    <w:p w:rsidR="00D21F50" w:rsidRDefault="00D21F50" w:rsidP="00D21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4807"/>
        <w:gridCol w:w="3238"/>
      </w:tblGrid>
      <w:tr w:rsidR="00D21F50" w:rsidRPr="00D21F50" w:rsidTr="00D21F50">
        <w:tc>
          <w:tcPr>
            <w:tcW w:w="1668" w:type="dxa"/>
          </w:tcPr>
          <w:p w:rsidR="00D21F50" w:rsidRP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1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Версия</w:t>
            </w:r>
          </w:p>
        </w:tc>
        <w:tc>
          <w:tcPr>
            <w:tcW w:w="4807" w:type="dxa"/>
          </w:tcPr>
          <w:p w:rsidR="00D21F50" w:rsidRP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1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изменений</w:t>
            </w:r>
          </w:p>
        </w:tc>
        <w:tc>
          <w:tcPr>
            <w:tcW w:w="3238" w:type="dxa"/>
          </w:tcPr>
          <w:p w:rsidR="00D21F50" w:rsidRP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1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D21F50" w:rsidRPr="00D21F50" w:rsidTr="006830BA">
        <w:trPr>
          <w:trHeight w:val="598"/>
        </w:trPr>
        <w:tc>
          <w:tcPr>
            <w:tcW w:w="1668" w:type="dxa"/>
            <w:vAlign w:val="center"/>
          </w:tcPr>
          <w:p w:rsidR="00D21F50" w:rsidRP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1F5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807" w:type="dxa"/>
            <w:vAlign w:val="center"/>
          </w:tcPr>
          <w:p w:rsidR="00D21F50" w:rsidRPr="00D21F50" w:rsidRDefault="00D21F50" w:rsidP="00737A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версия</w:t>
            </w:r>
          </w:p>
        </w:tc>
        <w:tc>
          <w:tcPr>
            <w:tcW w:w="3238" w:type="dxa"/>
            <w:vAlign w:val="center"/>
          </w:tcPr>
          <w:p w:rsidR="00D21F50" w:rsidRPr="00D21F50" w:rsidRDefault="00D21F50" w:rsidP="00737A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28.11.2012 г.</w:t>
            </w:r>
          </w:p>
        </w:tc>
      </w:tr>
      <w:tr w:rsidR="00D21F50" w:rsidRPr="00812BBC" w:rsidTr="006830BA">
        <w:trPr>
          <w:trHeight w:val="598"/>
        </w:trPr>
        <w:tc>
          <w:tcPr>
            <w:tcW w:w="1668" w:type="dxa"/>
            <w:vAlign w:val="center"/>
          </w:tcPr>
          <w:p w:rsidR="00D21F50" w:rsidRPr="00812BBC" w:rsidRDefault="00812BBC" w:rsidP="00812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BBC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807" w:type="dxa"/>
            <w:vAlign w:val="center"/>
          </w:tcPr>
          <w:p w:rsidR="00D21F50" w:rsidRPr="00812BBC" w:rsidRDefault="00812BBC" w:rsidP="00812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BBC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Измененная версия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2BBC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(изменение в части обеспечения конфиденциальност</w:t>
            </w:r>
            <w:r w:rsidRPr="00812BB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и)</w:t>
            </w:r>
          </w:p>
        </w:tc>
        <w:tc>
          <w:tcPr>
            <w:tcW w:w="3238" w:type="dxa"/>
            <w:vAlign w:val="center"/>
          </w:tcPr>
          <w:p w:rsidR="00D21F50" w:rsidRPr="00812BBC" w:rsidRDefault="00812BBC" w:rsidP="00812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BBC">
              <w:rPr>
                <w:rFonts w:ascii="Times New Roman" w:hAnsi="Times New Roman" w:cs="Times New Roman"/>
                <w:bCs/>
                <w:sz w:val="28"/>
                <w:szCs w:val="28"/>
              </w:rPr>
              <w:t>09.07.2013</w:t>
            </w:r>
            <w:r w:rsidR="006830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1F50" w:rsidTr="006830BA">
        <w:trPr>
          <w:trHeight w:val="598"/>
        </w:trPr>
        <w:tc>
          <w:tcPr>
            <w:tcW w:w="166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7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D21F50" w:rsidRDefault="00D21F50" w:rsidP="00D2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21F50" w:rsidRPr="00D21F50" w:rsidRDefault="00D21F50" w:rsidP="00D21F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F50" w:rsidRDefault="00D21F5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DF6" w:rsidRPr="00737A1A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bookmarkEnd w:id="0"/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1</w:t>
      </w:r>
      <w:r w:rsidR="00ED38BF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Назначение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1.1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Настоящий документ определяет политик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«ЛТВ»</w:t>
      </w:r>
      <w:r w:rsidRPr="00400E41">
        <w:rPr>
          <w:rFonts w:ascii="Times New Roman" w:hAnsi="Times New Roman" w:cs="Times New Roman"/>
          <w:sz w:val="28"/>
          <w:szCs w:val="28"/>
        </w:rPr>
        <w:t xml:space="preserve"> (далее – Компания) в отношении обработки персональных данных (далее – ПДн).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1.2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Настоящая Политика разработана в соответствии с п. 2 ст. 18.1 Федерального закона РФ «О персональных данных» №152-ФЗ от 27 июля 2006 года и действует в отношении всех персональных данных, обрабатываемых в Компании.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1.3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Целью настоящей Политики является защита интересов Компании, ее клиентов, партнеров и работников, а также выполнение законодательства Российской Федерации о персональных 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1.4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Политика распространяется на Данные полученные как до, так и после подписания настоящей Политики.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Pr="00737A1A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2</w:t>
      </w:r>
      <w:r w:rsidR="00ED38BF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Общие положения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2.1</w:t>
      </w:r>
      <w:r w:rsidR="00ED38BF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Действие настоящего документа распространяется на все процессы Компании, в рамках которых осуществляется обработка персональных данных субъектов ПДн всех категорий, а также на подразделения, принимающие участие в указанных процессах.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2.2 Основные положения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документа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распространены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подразделения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учреждений, осуществляющие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качестве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поставщиков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потребителей (пользователей) информации.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2.3 Правовой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документа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 от 27 июля 2006 года.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Pr="00737A1A" w:rsidRDefault="00993DF6" w:rsidP="00BE163A">
      <w:pPr>
        <w:spacing w:after="240" w:line="240" w:lineRule="auto"/>
        <w:ind w:firstLine="851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3</w:t>
      </w:r>
      <w:r w:rsidR="00ED38BF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Принципы  обработки  ПДн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принципов: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2BBC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справедливой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основе;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812BBC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 для любого работника компании </w:t>
      </w:r>
      <w:r w:rsidRPr="00812BBC">
        <w:rPr>
          <w:rFonts w:ascii="Times New Roman" w:hAnsi="Times New Roman" w:cs="Times New Roman"/>
          <w:sz w:val="28"/>
          <w:szCs w:val="28"/>
        </w:rPr>
        <w:t xml:space="preserve">установлена обязанность </w:t>
      </w:r>
      <w:proofErr w:type="gramStart"/>
      <w:r w:rsidRPr="00812BBC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812BBC">
        <w:rPr>
          <w:rFonts w:ascii="Times New Roman" w:hAnsi="Times New Roman" w:cs="Times New Roman"/>
          <w:sz w:val="28"/>
          <w:szCs w:val="28"/>
        </w:rPr>
        <w:t xml:space="preserve"> конфиденциальность персональных данных</w:t>
      </w:r>
      <w:r>
        <w:rPr>
          <w:rFonts w:ascii="Times New Roman" w:hAnsi="Times New Roman" w:cs="Times New Roman"/>
          <w:sz w:val="28"/>
          <w:szCs w:val="28"/>
        </w:rPr>
        <w:t>, ставших известными по роду своей профессиональной деятельности,</w:t>
      </w:r>
      <w:r w:rsidRPr="00812BBC">
        <w:rPr>
          <w:rFonts w:ascii="Times New Roman" w:hAnsi="Times New Roman" w:cs="Times New Roman"/>
          <w:sz w:val="28"/>
          <w:szCs w:val="28"/>
        </w:rPr>
        <w:t xml:space="preserve"> и обеспечивать безопасность персональных данных при их обработке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ограничивается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конкретных, заранее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целей.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несовместимая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сбора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баз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содержащих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данные, 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целях, несовместных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собой;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подлежат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данные, 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отвечают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--содержание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обрабатываемых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заявленным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обработки. Обрабатываемые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избыточными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отношению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заявленным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точность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достаточность,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отношению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заявленным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--хранение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форме, позволяющей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дольше, чем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требуют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хранения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установлен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договором, стороной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которого, выгодоприобретателем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Обрабатываемые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подлежат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уничтожению,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обезличиванию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утраты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ED38BF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38BF" w:rsidRPr="00737A1A" w:rsidRDefault="00993DF6" w:rsidP="00BE163A">
      <w:pPr>
        <w:spacing w:after="240" w:line="240" w:lineRule="auto"/>
        <w:ind w:firstLine="851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4</w:t>
      </w:r>
      <w:r w:rsidR="00BE163A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Условия  обработки  персональных  данных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4.1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принципов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правил,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данных». 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случаях: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международным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возложенных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функций, 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обязанностей;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правосудия,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судебного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акта, акта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органа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лица, подлежащих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исполнению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исполнительном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производстве;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договора, стороной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выгодоприобретателем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заключения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инициативе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договора,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выгодоприобретателем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поручителем;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жизни, здоровья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жизненно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важных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невозможно;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третьих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лиц, 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общественно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значимых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условии, 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нарушаются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свободы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исследовательских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целях,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условии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обезличивания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Исключение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продвижения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товаров, работ,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рынке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путем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прямых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контактов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потенциальным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потребителем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помощью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язи;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--осуществляется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доступ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неограниченного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круга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предоставлен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просьбе (далее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данные, сделанные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общедоступными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данных);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подлежащих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обязательному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раскрытию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4.2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включить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общедоступные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источники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берет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письменное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8BF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4.3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категорий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касающихся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расовой, национальной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принадлежности, состояния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здоровья,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обязуется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брать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письменное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4.4 Биометрические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(сведения, 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характеризуют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физиологические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биологические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человека,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личность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личности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данных)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обрабатываются.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4.5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трансграничную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передачу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территорию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иностранных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государств,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адекватную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4.6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Принятие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автоматизированной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решений, порождающих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юридические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последствия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образом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затрагивающих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интересы,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4.7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отсутствии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представителем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любой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позволяющей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факт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форме.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4.8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вправе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заключаемого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 (далее – поручение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оператора).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лицо, осуществляющее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Компании, соблюдать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принципы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документом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№152-ФЗ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4.9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действия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указанного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несет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Компания. Лицо, осуществляющее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Компании, несет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4.10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обязуется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лица, получившие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раскрывать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третьим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распространять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законом</w:t>
      </w:r>
      <w:r w:rsidR="00E60125">
        <w:rPr>
          <w:rFonts w:ascii="Times New Roman" w:hAnsi="Times New Roman" w:cs="Times New Roman"/>
          <w:sz w:val="28"/>
          <w:szCs w:val="28"/>
        </w:rPr>
        <w:t>.</w:t>
      </w:r>
    </w:p>
    <w:p w:rsidR="00E60125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0125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CF3" w:rsidRDefault="00F85CF3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0125" w:rsidRPr="00737A1A" w:rsidRDefault="00993DF6" w:rsidP="00BE163A">
      <w:pPr>
        <w:spacing w:after="240" w:line="240" w:lineRule="auto"/>
        <w:ind w:firstLine="851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5</w:t>
      </w:r>
      <w:r w:rsidR="00E60125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Права  субъекта  персональных  данных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E41">
        <w:rPr>
          <w:rFonts w:ascii="Times New Roman" w:hAnsi="Times New Roman" w:cs="Times New Roman"/>
          <w:sz w:val="28"/>
          <w:szCs w:val="28"/>
        </w:rPr>
        <w:t>5.1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№152-ФЗ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 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имеет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право: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5.1.1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Получить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сведения</w:t>
      </w:r>
      <w:r w:rsidR="00E60125">
        <w:rPr>
          <w:rFonts w:ascii="Times New Roman" w:hAnsi="Times New Roman" w:cs="Times New Roman"/>
          <w:sz w:val="28"/>
          <w:szCs w:val="28"/>
        </w:rPr>
        <w:t>,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касающиеся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именно: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--подтверждение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факта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--правовые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применяемые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способы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нахождения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оператора, сведения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лицах (за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оператора), 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раскрыты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--обрабатываемые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данные, относящиеся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соответствующему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источник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получения,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--сроки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числе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сроки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хранения;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--порядок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--информацию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трансграничной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передаче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фамилию, имя, отчество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лица, осуществляющего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поручена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поручена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лицу;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--иные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№152-ФЗ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 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другими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законами.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5.1.2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Потребовать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уточнения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блокирования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неполными, устаревшими,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неточными, незаконно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заявленной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обработки;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5.1.3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Заявить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возражение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против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себя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решений, порождающих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юридические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последствия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автоматизированной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5.1.4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Отозвать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случаях.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5.2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ограничено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РФ.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0125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0125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63A" w:rsidRDefault="00BE163A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CF3" w:rsidRDefault="00F85CF3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0125" w:rsidRPr="00737A1A" w:rsidRDefault="00993DF6" w:rsidP="00BE163A">
      <w:pPr>
        <w:spacing w:after="240" w:line="240" w:lineRule="auto"/>
        <w:ind w:firstLine="851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6</w:t>
      </w:r>
      <w:r w:rsidR="00E60125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Обязанности  Компании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 152-ФЗ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»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обязана: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6.1.1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Предоставлять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запросу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информацию, касающуюся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отказ.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25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6.1.2</w:t>
      </w:r>
      <w:r w:rsidR="00E60125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требованию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уточнять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обрабатываемые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данные, блокировать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удалять,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неполными, устаревшими,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неточными, незаконно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заявленной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обработки. </w:t>
      </w:r>
    </w:p>
    <w:p w:rsidR="00E465CC" w:rsidRDefault="00E60125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93DF6" w:rsidRPr="00400E41">
        <w:rPr>
          <w:rFonts w:ascii="Times New Roman" w:hAnsi="Times New Roman" w:cs="Times New Roman"/>
          <w:sz w:val="28"/>
          <w:szCs w:val="28"/>
        </w:rPr>
        <w:t>.1.3</w:t>
      </w:r>
      <w:r w:rsidR="00E465CC">
        <w:rPr>
          <w:rFonts w:ascii="Times New Roman" w:hAnsi="Times New Roman" w:cs="Times New Roman"/>
          <w:sz w:val="28"/>
          <w:szCs w:val="28"/>
        </w:rPr>
        <w:t>.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 Вести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Журнал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данных, в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3DF6" w:rsidRPr="00400E41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993DF6" w:rsidRPr="00400E41">
        <w:rPr>
          <w:rFonts w:ascii="Times New Roman" w:hAnsi="Times New Roman" w:cs="Times New Roman"/>
          <w:sz w:val="28"/>
          <w:szCs w:val="28"/>
        </w:rPr>
        <w:t xml:space="preserve">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фиксироваться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запросы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данных, а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факты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этим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запросам.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5CC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6.1.4</w:t>
      </w:r>
      <w:r w:rsidR="00E465CC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Уведомлять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Исключение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составляют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уведомлен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оператором;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связи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договора, стороной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выгодоприобретателем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>сделаны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общедоступными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получены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общедоступного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источника;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исследовательских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целей,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журналиста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научной,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литературной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творческой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деятельности,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нарушаются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интересы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ПДн;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сведений, содержащихся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Уведомлении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ПД,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нарушает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интересы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третьих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лиц.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lastRenderedPageBreak/>
        <w:t>6.1.5</w:t>
      </w:r>
      <w:r w:rsidR="008D692E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прекратить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срок,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превышающий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тридцати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договором, стороной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которого, выгодоприобретателем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поручителем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иным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соглашением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вправе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основаниях,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№152-ФЗ 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данных» 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другими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законами.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6.1.6</w:t>
      </w:r>
      <w:r w:rsidR="008D692E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отзыва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прекратить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срок,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>превышающий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тридцати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указанного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отзыва,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соглашением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обязана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уведомить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92E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6.1.7</w:t>
      </w:r>
      <w:r w:rsidR="008D692E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субъекта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прекращении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продвижения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товаров, работ, услуг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рынке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немедленно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прекратить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BBC" w:rsidRDefault="00812BBC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6.1.8. С</w:t>
      </w:r>
      <w:r w:rsidRPr="00812BBC">
        <w:rPr>
          <w:rFonts w:ascii="Times New Roman" w:hAnsi="Times New Roman" w:cs="Times New Roman"/>
          <w:sz w:val="28"/>
          <w:szCs w:val="28"/>
        </w:rPr>
        <w:t>облюдать конфиденциальность персональных данных и обеспечивать безопасность персональных данных при их обработке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Default="008D692E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92E" w:rsidRPr="00737A1A" w:rsidRDefault="00993DF6" w:rsidP="00737A1A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7</w:t>
      </w:r>
      <w:r w:rsidR="008D692E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Меры  по  обеспечению  безопасности  персональных  данных при  их  обработке</w:t>
      </w:r>
    </w:p>
    <w:p w:rsidR="002B2184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7.1</w:t>
      </w:r>
      <w:r w:rsidR="008D692E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принимает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правовые,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организационные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технические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неправомерного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случайного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ним, уничтожения, изменения, блокирования, копирования, предоставления,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неправомерных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действий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184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7.2</w:t>
      </w:r>
      <w:r w:rsidR="002B2184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достигается,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частности: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184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--определением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угроз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--применением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организационных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технических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обработке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требований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исполнение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уровни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--применением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прошедших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процедуру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оценки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--оценкой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принимаемых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ввода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эксплуатацию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--учетом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машинных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носителей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3A10" w:rsidRDefault="00193A10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-обнаружением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фактов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несанкционированного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доступа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персональным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данным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 w:rsidR="00993DF6">
        <w:rPr>
          <w:rFonts w:ascii="Times New Roman" w:hAnsi="Times New Roman" w:cs="Times New Roman"/>
          <w:sz w:val="28"/>
          <w:szCs w:val="28"/>
        </w:rPr>
        <w:t xml:space="preserve">  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принятием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  <w:r w:rsidR="00993DF6" w:rsidRPr="00400E41">
        <w:rPr>
          <w:rFonts w:ascii="Times New Roman" w:hAnsi="Times New Roman" w:cs="Times New Roman"/>
          <w:sz w:val="28"/>
          <w:szCs w:val="28"/>
        </w:rPr>
        <w:t xml:space="preserve">мер; </w:t>
      </w:r>
      <w:r w:rsidR="00993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--восстановлением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модифицированных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уничтоженных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вследствие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несанкционированного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ним;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 xml:space="preserve">--установлением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доступа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данным, обрабатываемым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учета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действий, совершаемых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10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--</w:t>
      </w:r>
      <w:proofErr w:type="gramStart"/>
      <w:r w:rsidRPr="00400E41">
        <w:rPr>
          <w:rFonts w:ascii="Times New Roman" w:hAnsi="Times New Roman" w:cs="Times New Roman"/>
          <w:sz w:val="28"/>
          <w:szCs w:val="28"/>
        </w:rPr>
        <w:t xml:space="preserve">контролем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0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принимаемыми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мерами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систем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данных.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3A10" w:rsidRPr="00737A1A" w:rsidRDefault="00993DF6" w:rsidP="002C7511">
      <w:pPr>
        <w:spacing w:after="240" w:line="240" w:lineRule="auto"/>
        <w:ind w:firstLine="851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37A1A">
        <w:rPr>
          <w:rFonts w:ascii="Times New Roman" w:hAnsi="Times New Roman" w:cs="Times New Roman"/>
          <w:b/>
          <w:sz w:val="36"/>
          <w:szCs w:val="28"/>
        </w:rPr>
        <w:lastRenderedPageBreak/>
        <w:t>8</w:t>
      </w:r>
      <w:r w:rsidR="00193A10" w:rsidRPr="00737A1A">
        <w:rPr>
          <w:rFonts w:ascii="Times New Roman" w:hAnsi="Times New Roman" w:cs="Times New Roman"/>
          <w:b/>
          <w:sz w:val="36"/>
          <w:szCs w:val="28"/>
        </w:rPr>
        <w:t>.</w:t>
      </w:r>
      <w:r w:rsidRPr="00737A1A">
        <w:rPr>
          <w:rFonts w:ascii="Times New Roman" w:hAnsi="Times New Roman" w:cs="Times New Roman"/>
          <w:b/>
          <w:sz w:val="36"/>
          <w:szCs w:val="28"/>
        </w:rPr>
        <w:t xml:space="preserve"> Изменение  политики</w:t>
      </w:r>
    </w:p>
    <w:p w:rsidR="00193A10" w:rsidRDefault="00993DF6" w:rsidP="00193A10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8.1</w:t>
      </w:r>
      <w:r w:rsidR="00193A10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Компания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имеет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право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вносить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настоящую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Политику.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E41" w:rsidRPr="00193A10" w:rsidRDefault="00993DF6" w:rsidP="00193A10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E41">
        <w:rPr>
          <w:rFonts w:ascii="Times New Roman" w:hAnsi="Times New Roman" w:cs="Times New Roman"/>
          <w:sz w:val="28"/>
          <w:szCs w:val="28"/>
        </w:rPr>
        <w:t>8.2</w:t>
      </w:r>
      <w:r w:rsidR="00193A10">
        <w:rPr>
          <w:rFonts w:ascii="Times New Roman" w:hAnsi="Times New Roman" w:cs="Times New Roman"/>
          <w:sz w:val="28"/>
          <w:szCs w:val="28"/>
        </w:rPr>
        <w:t>.</w:t>
      </w:r>
      <w:r w:rsidRPr="00400E41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внесении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заголовке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Политики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последнего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обновления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редакции. Новая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редакция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Политики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силу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момента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A10">
        <w:rPr>
          <w:rFonts w:ascii="Times New Roman" w:hAnsi="Times New Roman" w:cs="Times New Roman"/>
          <w:sz w:val="28"/>
          <w:szCs w:val="28"/>
        </w:rPr>
        <w:t xml:space="preserve">в абонентском отделе </w:t>
      </w:r>
      <w:r w:rsidRPr="00400E41">
        <w:rPr>
          <w:rFonts w:ascii="Times New Roman" w:hAnsi="Times New Roman" w:cs="Times New Roman"/>
          <w:sz w:val="28"/>
          <w:szCs w:val="28"/>
        </w:rPr>
        <w:t>Компании</w:t>
      </w:r>
      <w:r w:rsidR="00193A10">
        <w:rPr>
          <w:rFonts w:ascii="Times New Roman" w:hAnsi="Times New Roman" w:cs="Times New Roman"/>
          <w:sz w:val="28"/>
          <w:szCs w:val="28"/>
        </w:rPr>
        <w:t xml:space="preserve"> и/или на сайте </w:t>
      </w:r>
      <w:r w:rsidR="00193A1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93A10" w:rsidRPr="00193A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93A10">
        <w:rPr>
          <w:rFonts w:ascii="Times New Roman" w:hAnsi="Times New Roman" w:cs="Times New Roman"/>
          <w:sz w:val="28"/>
          <w:szCs w:val="28"/>
          <w:lang w:val="en-US"/>
        </w:rPr>
        <w:t>ltvtelecom</w:t>
      </w:r>
      <w:proofErr w:type="spellEnd"/>
      <w:r w:rsidR="00193A10" w:rsidRPr="00193A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93A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00E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иное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редакцией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E41">
        <w:rPr>
          <w:rFonts w:ascii="Times New Roman" w:hAnsi="Times New Roman" w:cs="Times New Roman"/>
          <w:sz w:val="28"/>
          <w:szCs w:val="28"/>
        </w:rPr>
        <w:t xml:space="preserve">Политики.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t xml:space="preserve"> </w:t>
      </w:r>
    </w:p>
    <w:p w:rsidR="00ED38BF" w:rsidRPr="00993DF6" w:rsidRDefault="00ED38BF" w:rsidP="002C7511">
      <w:pPr>
        <w:spacing w:after="240" w:line="240" w:lineRule="auto"/>
        <w:ind w:firstLine="851"/>
        <w:jc w:val="both"/>
      </w:pPr>
    </w:p>
    <w:sectPr w:rsidR="00ED38BF" w:rsidRPr="00993DF6" w:rsidSect="006D259B">
      <w:headerReference w:type="default" r:id="rId7"/>
      <w:footerReference w:type="default" r:id="rId8"/>
      <w:headerReference w:type="first" r:id="rId9"/>
      <w:pgSz w:w="11906" w:h="16838"/>
      <w:pgMar w:top="993" w:right="849" w:bottom="1134" w:left="1560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DD4" w:rsidRDefault="00E00DD4" w:rsidP="004E74C1">
      <w:pPr>
        <w:spacing w:after="0" w:line="240" w:lineRule="auto"/>
      </w:pPr>
      <w:r>
        <w:separator/>
      </w:r>
    </w:p>
  </w:endnote>
  <w:endnote w:type="continuationSeparator" w:id="0">
    <w:p w:rsidR="00E00DD4" w:rsidRDefault="00E00DD4" w:rsidP="004E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28C" w:rsidRDefault="00E00DD4">
    <w:pPr>
      <w:pStyle w:val="a5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pict>
        <v:rect id="_x0000_i1025" style="width:0;height:1.5pt" o:hralign="center" o:hrstd="t" o:hr="t" fillcolor="#a0a0a0" stroked="f"/>
      </w:pict>
    </w:r>
  </w:p>
  <w:p w:rsidR="0052517B" w:rsidRPr="0052517B" w:rsidRDefault="00B3328C">
    <w:pPr>
      <w:pStyle w:val="a5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     </w:t>
    </w:r>
    <w:r w:rsidR="0052517B" w:rsidRPr="0052517B">
      <w:rPr>
        <w:rFonts w:ascii="Times New Roman" w:hAnsi="Times New Roman" w:cs="Times New Roman"/>
        <w:b/>
        <w:sz w:val="24"/>
      </w:rPr>
      <w:t>ООО «ЛТВ»</w:t>
    </w:r>
  </w:p>
  <w:p w:rsidR="0052517B" w:rsidRPr="0052517B" w:rsidRDefault="0052517B">
    <w:pPr>
      <w:pStyle w:val="a5"/>
      <w:rPr>
        <w:rFonts w:ascii="Times New Roman" w:hAnsi="Times New Roman" w:cs="Times New Roman"/>
      </w:rPr>
    </w:pPr>
    <w:r w:rsidRPr="0052517B">
      <w:rPr>
        <w:rFonts w:ascii="Times New Roman" w:hAnsi="Times New Roman" w:cs="Times New Roman"/>
      </w:rPr>
      <w:t xml:space="preserve">                                                         </w:t>
    </w:r>
    <w:r>
      <w:rPr>
        <w:rFonts w:ascii="Times New Roman" w:hAnsi="Times New Roman" w:cs="Times New Roman"/>
      </w:rPr>
      <w:t xml:space="preserve"> </w:t>
    </w:r>
    <w:r w:rsidRPr="0052517B">
      <w:rPr>
        <w:rFonts w:ascii="Times New Roman" w:hAnsi="Times New Roman" w:cs="Times New Roman"/>
      </w:rPr>
      <w:t xml:space="preserve">                 Политика в отношении обработки персональных данных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DD4" w:rsidRDefault="00E00DD4" w:rsidP="004E74C1">
      <w:pPr>
        <w:spacing w:after="0" w:line="240" w:lineRule="auto"/>
      </w:pPr>
      <w:r>
        <w:separator/>
      </w:r>
    </w:p>
  </w:footnote>
  <w:footnote w:type="continuationSeparator" w:id="0">
    <w:p w:rsidR="00E00DD4" w:rsidRDefault="00E00DD4" w:rsidP="004E7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465201"/>
      <w:docPartObj>
        <w:docPartGallery w:val="Page Numbers (Top of Page)"/>
        <w:docPartUnique/>
      </w:docPartObj>
    </w:sdtPr>
    <w:sdtEndPr/>
    <w:sdtContent>
      <w:p w:rsidR="006D259B" w:rsidRDefault="006D25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9D1">
          <w:rPr>
            <w:noProof/>
          </w:rPr>
          <w:t>15</w:t>
        </w:r>
        <w:r>
          <w:fldChar w:fldCharType="end"/>
        </w:r>
      </w:p>
    </w:sdtContent>
  </w:sdt>
  <w:p w:rsidR="006D259B" w:rsidRDefault="006D25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59B" w:rsidRDefault="006D259B">
    <w:pPr>
      <w:pStyle w:val="a3"/>
      <w:jc w:val="center"/>
    </w:pPr>
  </w:p>
  <w:p w:rsidR="006D259B" w:rsidRDefault="006D25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46"/>
    <w:rsid w:val="0012170A"/>
    <w:rsid w:val="00193A10"/>
    <w:rsid w:val="001E15CA"/>
    <w:rsid w:val="002B2184"/>
    <w:rsid w:val="002C7511"/>
    <w:rsid w:val="002F48B4"/>
    <w:rsid w:val="003B08C3"/>
    <w:rsid w:val="003C4D1C"/>
    <w:rsid w:val="003E3231"/>
    <w:rsid w:val="00400E41"/>
    <w:rsid w:val="004124F4"/>
    <w:rsid w:val="004C2865"/>
    <w:rsid w:val="004E74C1"/>
    <w:rsid w:val="0052517B"/>
    <w:rsid w:val="005D4C47"/>
    <w:rsid w:val="006823BD"/>
    <w:rsid w:val="006830BA"/>
    <w:rsid w:val="006D259B"/>
    <w:rsid w:val="00737A1A"/>
    <w:rsid w:val="0075138E"/>
    <w:rsid w:val="00753F02"/>
    <w:rsid w:val="008036D6"/>
    <w:rsid w:val="00812BBC"/>
    <w:rsid w:val="008D692E"/>
    <w:rsid w:val="00993DF6"/>
    <w:rsid w:val="00A36A0C"/>
    <w:rsid w:val="00B3328C"/>
    <w:rsid w:val="00BB3284"/>
    <w:rsid w:val="00BE163A"/>
    <w:rsid w:val="00CC7F46"/>
    <w:rsid w:val="00D21F50"/>
    <w:rsid w:val="00D91939"/>
    <w:rsid w:val="00E00DD4"/>
    <w:rsid w:val="00E119D1"/>
    <w:rsid w:val="00E465CC"/>
    <w:rsid w:val="00E60125"/>
    <w:rsid w:val="00E93998"/>
    <w:rsid w:val="00ED38BF"/>
    <w:rsid w:val="00F8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4C1"/>
  </w:style>
  <w:style w:type="paragraph" w:styleId="a5">
    <w:name w:val="footer"/>
    <w:basedOn w:val="a"/>
    <w:link w:val="a6"/>
    <w:uiPriority w:val="99"/>
    <w:unhideWhenUsed/>
    <w:rsid w:val="004E7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4C1"/>
  </w:style>
  <w:style w:type="paragraph" w:styleId="a7">
    <w:name w:val="Balloon Text"/>
    <w:basedOn w:val="a"/>
    <w:link w:val="a8"/>
    <w:uiPriority w:val="99"/>
    <w:semiHidden/>
    <w:unhideWhenUsed/>
    <w:rsid w:val="004E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74C1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4E74C1"/>
    <w:rPr>
      <w:color w:val="808080"/>
    </w:rPr>
  </w:style>
  <w:style w:type="table" w:styleId="aa">
    <w:name w:val="Table Grid"/>
    <w:basedOn w:val="a1"/>
    <w:uiPriority w:val="59"/>
    <w:rsid w:val="00D2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4C1"/>
  </w:style>
  <w:style w:type="paragraph" w:styleId="a5">
    <w:name w:val="footer"/>
    <w:basedOn w:val="a"/>
    <w:link w:val="a6"/>
    <w:uiPriority w:val="99"/>
    <w:unhideWhenUsed/>
    <w:rsid w:val="004E7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4C1"/>
  </w:style>
  <w:style w:type="paragraph" w:styleId="a7">
    <w:name w:val="Balloon Text"/>
    <w:basedOn w:val="a"/>
    <w:link w:val="a8"/>
    <w:uiPriority w:val="99"/>
    <w:semiHidden/>
    <w:unhideWhenUsed/>
    <w:rsid w:val="004E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74C1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4E74C1"/>
    <w:rPr>
      <w:color w:val="808080"/>
    </w:rPr>
  </w:style>
  <w:style w:type="table" w:styleId="aa">
    <w:name w:val="Table Grid"/>
    <w:basedOn w:val="a1"/>
    <w:uiPriority w:val="59"/>
    <w:rsid w:val="00D2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2764</Words>
  <Characters>15758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kassa5</dc:creator>
  <cp:lastModifiedBy>kassa5</cp:lastModifiedBy>
  <cp:revision>26</cp:revision>
  <cp:lastPrinted>2013-07-08T22:16:00Z</cp:lastPrinted>
  <dcterms:created xsi:type="dcterms:W3CDTF">2013-06-20T00:01:00Z</dcterms:created>
  <dcterms:modified xsi:type="dcterms:W3CDTF">2013-07-08T22:20:00Z</dcterms:modified>
</cp:coreProperties>
</file>